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6993">
      <w:pPr>
        <w:spacing w:line="540" w:lineRule="exact"/>
        <w:ind w:firstLine="0" w:firstLineChars="0"/>
        <w:rPr>
          <w:rFonts w:ascii="黑体" w:hAnsi="黑体" w:eastAsia="黑体"/>
          <w:kern w:val="32"/>
        </w:rPr>
      </w:pPr>
      <w:r>
        <w:rPr>
          <w:rFonts w:hint="eastAsia" w:ascii="黑体" w:hAnsi="黑体" w:eastAsia="黑体"/>
          <w:kern w:val="32"/>
        </w:rPr>
        <w:t>附件</w:t>
      </w:r>
      <w:r>
        <w:rPr>
          <w:rFonts w:ascii="黑体" w:hAnsi="黑体" w:eastAsia="黑体"/>
          <w:kern w:val="32"/>
        </w:rPr>
        <w:t>2</w:t>
      </w:r>
    </w:p>
    <w:p w14:paraId="55BD2150">
      <w:pPr>
        <w:spacing w:line="540" w:lineRule="exact"/>
        <w:ind w:firstLine="0" w:firstLineChars="0"/>
        <w:rPr>
          <w:rFonts w:ascii="黑体" w:hAnsi="黑体" w:eastAsia="黑体"/>
          <w:kern w:val="32"/>
        </w:rPr>
      </w:pPr>
    </w:p>
    <w:p w14:paraId="6A16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  <w:t>国家考古遗址公园评定</w:t>
      </w:r>
    </w:p>
    <w:p w14:paraId="0178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pacing w:val="0"/>
          <w:sz w:val="44"/>
          <w:szCs w:val="44"/>
        </w:rPr>
        <w:t>申报材料要求</w:t>
      </w:r>
    </w:p>
    <w:p w14:paraId="555D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36B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  <w:r>
        <w:rPr>
          <w:rFonts w:hint="eastAsia" w:ascii="仿宋_GB2312" w:hAnsi="黑体" w:eastAsia="仿宋_GB2312" w:cs="Times New Roman"/>
        </w:rPr>
        <w:t>一</w:t>
      </w:r>
      <w:r>
        <w:rPr>
          <w:rFonts w:hint="eastAsia" w:ascii="仿宋_GB2312" w:hAnsi="Calibri" w:eastAsia="仿宋_GB2312" w:cs="Times New Roman"/>
          <w:bCs/>
        </w:rPr>
        <w:t>、拟申请国家考古遗址公园</w:t>
      </w:r>
      <w:r>
        <w:rPr>
          <w:rFonts w:hint="eastAsia" w:ascii="仿宋_GB2312" w:hAnsi="Calibri" w:eastAsia="仿宋_GB2312" w:cs="Times New Roman"/>
          <w:bCs/>
          <w:lang w:eastAsia="zh-CN"/>
        </w:rPr>
        <w:t>评定</w:t>
      </w:r>
      <w:r>
        <w:rPr>
          <w:rFonts w:hint="eastAsia" w:ascii="仿宋_GB2312" w:hAnsi="Calibri" w:eastAsia="仿宋_GB2312" w:cs="Times New Roman"/>
          <w:bCs/>
        </w:rPr>
        <w:t>的，需提交以下材料：</w:t>
      </w:r>
    </w:p>
    <w:p w14:paraId="1A77F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  <w:r>
        <w:rPr>
          <w:rFonts w:hint="eastAsia" w:ascii="仿宋_GB2312" w:hAnsi="Calibri" w:eastAsia="仿宋_GB2312" w:cs="Times New Roman"/>
          <w:bCs/>
        </w:rPr>
        <w:t>（一）国家考古遗址公园评定申报书；</w:t>
      </w:r>
    </w:p>
    <w:p w14:paraId="21C3E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  <w:r>
        <w:rPr>
          <w:rFonts w:hint="eastAsia" w:ascii="仿宋_GB2312" w:hAnsi="Calibri" w:eastAsia="仿宋_GB2312" w:cs="Times New Roman"/>
          <w:bCs/>
        </w:rPr>
        <w:t>（二）考古遗址公园规划；</w:t>
      </w:r>
    </w:p>
    <w:p w14:paraId="2257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  <w:r>
        <w:rPr>
          <w:rFonts w:hint="eastAsia" w:ascii="仿宋_GB2312" w:hAnsi="Calibri" w:eastAsia="仿宋_GB2312" w:cs="Times New Roman"/>
          <w:bCs/>
        </w:rPr>
        <w:t>二、所有申报材料须一式</w:t>
      </w:r>
      <w:r>
        <w:rPr>
          <w:rFonts w:hint="eastAsia" w:ascii="仿宋_GB2312" w:hAnsi="Calibri" w:eastAsia="仿宋_GB2312" w:cs="Times New Roman"/>
          <w:bCs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bCs/>
        </w:rPr>
        <w:t>份，并同时提交电子版。</w:t>
      </w:r>
    </w:p>
    <w:p w14:paraId="5AC2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1FF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1E8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6E41C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E25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768D2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D8E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64F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6EFF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B8A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95E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6F93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28275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516C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3309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B339F59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2C65E6E6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4828FBD1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国家考古遗址公园评定申报书</w:t>
      </w:r>
    </w:p>
    <w:p w14:paraId="598A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50E8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95BD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73D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C8C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86D570D">
      <w:pPr>
        <w:ind w:firstLine="1632" w:firstLineChars="510"/>
        <w:rPr>
          <w:rFonts w:ascii="仿宋_GB2312" w:eastAsia="仿宋_GB2312"/>
        </w:rPr>
      </w:pPr>
      <w:r>
        <w:rPr>
          <w:rFonts w:hint="eastAsia" w:ascii="仿宋_GB2312" w:eastAsia="仿宋_GB2312"/>
        </w:rPr>
        <w:t>公园名称</w:t>
      </w:r>
      <w:r>
        <w:rPr>
          <w:rFonts w:hint="eastAsia" w:ascii="仿宋_GB2312" w:eastAsia="仿宋_GB2312"/>
          <w:u w:val="thick"/>
        </w:rPr>
        <w:t xml:space="preserve">                          </w:t>
      </w:r>
    </w:p>
    <w:p w14:paraId="1D41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AE4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DC2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22B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0EB9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3A11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5F3C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4F6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4CF34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bCs/>
        </w:rPr>
      </w:pPr>
    </w:p>
    <w:p w14:paraId="1742D261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41D42857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5FF976D6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1CBE546E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4895B705">
      <w:pPr>
        <w:jc w:val="center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</w:rPr>
        <w:t>申报单位</w:t>
      </w:r>
      <w:r>
        <w:rPr>
          <w:rFonts w:hint="eastAsia" w:ascii="仿宋_GB2312" w:eastAsia="仿宋_GB2312"/>
          <w:u w:val="thick"/>
        </w:rPr>
        <w:t xml:space="preserve">              </w:t>
      </w:r>
      <w:r>
        <w:rPr>
          <w:rFonts w:hint="eastAsia" w:ascii="仿宋_GB2312" w:eastAsia="仿宋_GB2312"/>
        </w:rPr>
        <w:t>（</w:t>
      </w:r>
      <w:r>
        <w:rPr>
          <w:rFonts w:ascii="仿宋" w:hAnsi="仿宋" w:eastAsia="仿宋"/>
        </w:rPr>
        <w:t>县级</w:t>
      </w:r>
      <w:r>
        <w:rPr>
          <w:rFonts w:hint="eastAsia" w:ascii="仿宋" w:hAnsi="仿宋" w:eastAsia="仿宋"/>
          <w:lang w:eastAsia="zh-CN"/>
        </w:rPr>
        <w:t>及</w:t>
      </w:r>
      <w:r>
        <w:rPr>
          <w:rFonts w:ascii="仿宋" w:hAnsi="仿宋" w:eastAsia="仿宋"/>
        </w:rPr>
        <w:t>以上人民政府</w:t>
      </w:r>
      <w:r>
        <w:rPr>
          <w:rFonts w:hint="eastAsia" w:ascii="仿宋_GB2312" w:eastAsia="仿宋_GB2312"/>
        </w:rPr>
        <w:t>公章）</w:t>
      </w:r>
    </w:p>
    <w:p w14:paraId="4C0C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74" w:rightChars="398" w:firstLine="320" w:firstLineChars="100"/>
        <w:jc w:val="both"/>
        <w:textAlignment w:val="auto"/>
        <w:outlineLvl w:val="9"/>
        <w:rPr>
          <w:rFonts w:hint="eastAsia" w:ascii="仿宋_GB2312"/>
          <w:u w:val="none"/>
          <w:lang w:val="en-US" w:eastAsia="zh-CN"/>
        </w:rPr>
      </w:pPr>
      <w:r>
        <w:rPr>
          <w:rFonts w:hint="eastAsia" w:ascii="仿宋_GB2312" w:eastAsia="仿宋_GB2312"/>
        </w:rPr>
        <w:t>申报日期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 </w:t>
      </w:r>
      <w:r>
        <w:rPr>
          <w:rFonts w:hint="eastAsia" w:ascii="仿宋_GB2312" w:eastAsia="仿宋_GB2312"/>
          <w:u w:val="thick"/>
        </w:rPr>
        <w:t xml:space="preserve">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 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thick"/>
        </w:rPr>
        <w:t xml:space="preserve">  </w:t>
      </w:r>
      <w:r>
        <w:rPr>
          <w:rFonts w:hint="eastAsia" w:ascii="仿宋_GB2312"/>
          <w:u w:val="thick"/>
          <w:lang w:val="en-US" w:eastAsia="zh-CN"/>
        </w:rPr>
        <w:t xml:space="preserve"> </w:t>
      </w:r>
      <w:r>
        <w:rPr>
          <w:rFonts w:hint="eastAsia" w:ascii="仿宋_GB2312" w:eastAsia="仿宋_GB2312"/>
          <w:u w:val="thick"/>
        </w:rPr>
        <w:t xml:space="preserve">   </w:t>
      </w:r>
      <w:r>
        <w:rPr>
          <w:rFonts w:hint="eastAsia" w:ascii="仿宋_GB2312"/>
          <w:u w:val="none"/>
          <w:lang w:val="en-US" w:eastAsia="zh-CN"/>
        </w:rPr>
        <w:t>日</w:t>
      </w:r>
    </w:p>
    <w:p w14:paraId="40CA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74" w:rightChars="398" w:firstLine="640" w:firstLineChars="200"/>
        <w:jc w:val="both"/>
        <w:textAlignment w:val="auto"/>
        <w:outlineLvl w:val="9"/>
        <w:rPr>
          <w:rFonts w:hint="eastAsia" w:ascii="仿宋_GB2312"/>
          <w:u w:val="none"/>
          <w:lang w:val="en-US" w:eastAsia="zh-CN"/>
        </w:rPr>
      </w:pPr>
    </w:p>
    <w:p w14:paraId="6CAC3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74" w:rightChars="398" w:firstLine="640" w:firstLineChars="200"/>
        <w:jc w:val="both"/>
        <w:textAlignment w:val="auto"/>
        <w:outlineLvl w:val="9"/>
        <w:rPr>
          <w:rFonts w:hint="eastAsia" w:ascii="仿宋_GB2312"/>
          <w:u w:val="none"/>
          <w:lang w:val="en-US" w:eastAsia="zh-CN"/>
        </w:rPr>
      </w:pPr>
    </w:p>
    <w:p w14:paraId="63374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74" w:rightChars="398" w:firstLine="640" w:firstLineChars="200"/>
        <w:jc w:val="both"/>
        <w:textAlignment w:val="auto"/>
        <w:outlineLvl w:val="9"/>
        <w:rPr>
          <w:rFonts w:hint="eastAsia" w:ascii="仿宋_GB2312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171"/>
      </w:tblGrid>
      <w:tr w14:paraId="10CA8D27">
        <w:trPr>
          <w:cantSplit/>
          <w:trHeight w:val="520" w:hRule="atLeast"/>
          <w:jc w:val="center"/>
        </w:trPr>
        <w:tc>
          <w:tcPr>
            <w:tcW w:w="2471" w:type="dxa"/>
            <w:noWrap w:val="0"/>
            <w:vAlign w:val="center"/>
          </w:tcPr>
          <w:p w14:paraId="37A3184B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文物保护单位名称</w:t>
            </w:r>
          </w:p>
        </w:tc>
        <w:tc>
          <w:tcPr>
            <w:tcW w:w="6171" w:type="dxa"/>
            <w:noWrap w:val="0"/>
            <w:vAlign w:val="center"/>
          </w:tcPr>
          <w:p w14:paraId="74C20C85">
            <w:pPr>
              <w:spacing w:line="500" w:lineRule="exact"/>
              <w:ind w:firstLine="56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B6ACC4E">
        <w:trPr>
          <w:cantSplit/>
          <w:trHeight w:val="549" w:hRule="atLeast"/>
          <w:jc w:val="center"/>
        </w:trPr>
        <w:tc>
          <w:tcPr>
            <w:tcW w:w="2471" w:type="dxa"/>
            <w:noWrap w:val="0"/>
            <w:vAlign w:val="center"/>
          </w:tcPr>
          <w:p w14:paraId="739B37C4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6171" w:type="dxa"/>
            <w:noWrap w:val="0"/>
            <w:vAlign w:val="center"/>
          </w:tcPr>
          <w:p w14:paraId="0DAC512B">
            <w:pPr>
              <w:spacing w:line="500" w:lineRule="exact"/>
              <w:ind w:firstLine="1335" w:firstLineChars="475"/>
              <w:jc w:val="both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省（市、区）       市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县</w:t>
            </w:r>
          </w:p>
          <w:p w14:paraId="5407C822">
            <w:pPr>
              <w:spacing w:line="50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（如跨区域请写全）</w:t>
            </w:r>
          </w:p>
        </w:tc>
      </w:tr>
      <w:tr w14:paraId="58999943">
        <w:trPr>
          <w:cantSplit/>
          <w:trHeight w:val="570" w:hRule="atLeast"/>
          <w:jc w:val="center"/>
        </w:trPr>
        <w:tc>
          <w:tcPr>
            <w:tcW w:w="2471" w:type="dxa"/>
            <w:noWrap w:val="0"/>
            <w:vAlign w:val="center"/>
          </w:tcPr>
          <w:p w14:paraId="20C81C11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专门管理机构</w:t>
            </w:r>
          </w:p>
        </w:tc>
        <w:tc>
          <w:tcPr>
            <w:tcW w:w="6171" w:type="dxa"/>
            <w:noWrap w:val="0"/>
            <w:vAlign w:val="center"/>
          </w:tcPr>
          <w:p w14:paraId="0D469437">
            <w:pPr>
              <w:spacing w:line="500" w:lineRule="exact"/>
              <w:ind w:firstLine="562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A4C2E0E">
        <w:trPr>
          <w:cantSplit/>
          <w:trHeight w:val="570" w:hRule="atLeast"/>
          <w:jc w:val="center"/>
        </w:trPr>
        <w:tc>
          <w:tcPr>
            <w:tcW w:w="2471" w:type="dxa"/>
            <w:noWrap w:val="0"/>
            <w:vAlign w:val="center"/>
          </w:tcPr>
          <w:p w14:paraId="4656E442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上级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文物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主管单位</w:t>
            </w:r>
          </w:p>
        </w:tc>
        <w:tc>
          <w:tcPr>
            <w:tcW w:w="6171" w:type="dxa"/>
            <w:noWrap w:val="0"/>
            <w:vAlign w:val="center"/>
          </w:tcPr>
          <w:p w14:paraId="64F328BD">
            <w:pPr>
              <w:spacing w:line="500" w:lineRule="exact"/>
              <w:ind w:firstLine="562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7596B180">
        <w:trPr>
          <w:cantSplit/>
          <w:trHeight w:val="550" w:hRule="atLeast"/>
          <w:jc w:val="center"/>
        </w:trPr>
        <w:tc>
          <w:tcPr>
            <w:tcW w:w="2471" w:type="dxa"/>
            <w:tcBorders>
              <w:bottom w:val="single" w:color="auto" w:sz="4" w:space="0"/>
            </w:tcBorders>
            <w:noWrap w:val="0"/>
            <w:vAlign w:val="center"/>
          </w:tcPr>
          <w:p w14:paraId="073F0DD3">
            <w:pPr>
              <w:spacing w:line="500" w:lineRule="exact"/>
              <w:jc w:val="center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已开放运营时长</w:t>
            </w:r>
          </w:p>
        </w:tc>
        <w:tc>
          <w:tcPr>
            <w:tcW w:w="6171" w:type="dxa"/>
            <w:tcBorders>
              <w:bottom w:val="single" w:color="auto" w:sz="4" w:space="0"/>
            </w:tcBorders>
            <w:noWrap w:val="0"/>
            <w:vAlign w:val="center"/>
          </w:tcPr>
          <w:p w14:paraId="0BECDC3E">
            <w:pPr>
              <w:spacing w:line="500" w:lineRule="exact"/>
              <w:jc w:val="center"/>
              <w:rPr>
                <w:rFonts w:hint="default" w:ascii="宋体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年（或    个月）</w:t>
            </w:r>
          </w:p>
        </w:tc>
      </w:tr>
      <w:tr w14:paraId="481122E5">
        <w:trPr>
          <w:cantSplit/>
          <w:trHeight w:val="4502" w:hRule="atLeast"/>
          <w:jc w:val="center"/>
        </w:trPr>
        <w:tc>
          <w:tcPr>
            <w:tcW w:w="8642" w:type="dxa"/>
            <w:gridSpan w:val="2"/>
            <w:noWrap w:val="0"/>
            <w:vAlign w:val="top"/>
          </w:tcPr>
          <w:p w14:paraId="33CB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56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考古遗址公园概况（不超过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00字，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围绕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文物保护规划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考古遗址公园规划实施情况，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包括但不限于以下内容）</w:t>
            </w:r>
          </w:p>
          <w:p w14:paraId="4A289D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考古遗址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公园已建成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功能分区和价值阐释体系核心内容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区位条件及周边基础配套设施情况，土地利用和保障情况，后续建设计划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655F86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2.遗址本体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已采取的遗址保护、整治措施及达到的效果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日常维护与监测情况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17D51A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展示体系（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遗址博物馆、遗址展示标识系统、参观导引系统）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00C984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4.考古和学术研究工作计划实施和成果转化情况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0DDE94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5.对外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、社会教育和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情况，综合效益情况。</w:t>
            </w:r>
          </w:p>
          <w:p w14:paraId="4D094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70" w:rightChars="22" w:firstLine="4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6.具备独立法人资格的专门管理机构建设概况，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性质级别、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人员构成、主要职能、经费情况等，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以及社会力量参与公园管理运营情况。</w:t>
            </w:r>
          </w:p>
          <w:p w14:paraId="122DFD2A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1BCBAE1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60F046E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5922F3C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31FF87E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5163699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9066F85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AD18738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0777C58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5B2BAED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0A8A1BA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40B8AE7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7A913A3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911CF02">
            <w:pPr>
              <w:pStyle w:val="2"/>
              <w:ind w:right="70" w:rightChars="22" w:firstLine="48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3AEE891">
            <w:pPr>
              <w:spacing w:line="276" w:lineRule="auto"/>
              <w:ind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59111F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填报说明（此页无需装订入册）：</w:t>
      </w:r>
    </w:p>
    <w:p w14:paraId="6842C2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1.请申报单位严格控制申报书内容的文字数量，规范文本格式（使用小四号、仿宋GB2312字体、单倍行距）；</w:t>
      </w:r>
    </w:p>
    <w:p w14:paraId="3C4CDF06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各项内容应言简意赅、突出重点，尽量不超过边框限定范围，如需补充详细说明或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支撑材料请汇编附后。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zk4NjNhZGY0MzE4ZmZkNTE3MGZjMWVmZjBiNzMifQ=="/>
  </w:docVars>
  <w:rsids>
    <w:rsidRoot w:val="24CF61D9"/>
    <w:rsid w:val="24CF61D9"/>
    <w:rsid w:val="7B1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2024-10-11T11:34:00Z</dcterms:created>
  <dc:creator>CQ</dc:creator>
  <cp:lastModifiedBy>CQ</cp:lastModifiedBy>
  <dcterms:modified xsi:type="dcterms:W3CDTF">2024-10-11T11:35:21Z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5632903435022668D99C0867A3867CC7_41</vt:lpwstr>
  </property>
</Properties>
</file>